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67" w:rsidRDefault="00E84A6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84A67" w:rsidRDefault="00E84A67">
      <w:pPr>
        <w:pStyle w:val="ConsPlusNormal"/>
        <w:outlineLvl w:val="0"/>
      </w:pPr>
    </w:p>
    <w:p w:rsidR="00E84A67" w:rsidRDefault="00E84A67">
      <w:pPr>
        <w:pStyle w:val="ConsPlusTitle"/>
        <w:jc w:val="center"/>
      </w:pPr>
      <w:r>
        <w:t>ДЕПАРТАМЕНТ ПРОМЫШЛЕННОСТИ</w:t>
      </w:r>
    </w:p>
    <w:p w:rsidR="00E84A67" w:rsidRDefault="00E84A67">
      <w:pPr>
        <w:pStyle w:val="ConsPlusTitle"/>
        <w:jc w:val="center"/>
      </w:pPr>
      <w:r>
        <w:t>ХАНТЫ-МАНСИЙСКОГО АВТОНОМНОГО ОКРУГА - ЮГРЫ</w:t>
      </w:r>
    </w:p>
    <w:p w:rsidR="00E84A67" w:rsidRDefault="00E84A67">
      <w:pPr>
        <w:pStyle w:val="ConsPlusTitle"/>
        <w:jc w:val="center"/>
      </w:pPr>
      <w:r>
        <w:t>(ДЕППРОМЫШЛЕННОСТИ ЮГРЫ)</w:t>
      </w:r>
    </w:p>
    <w:p w:rsidR="00E84A67" w:rsidRDefault="00E84A67">
      <w:pPr>
        <w:pStyle w:val="ConsPlusTitle"/>
        <w:jc w:val="center"/>
      </w:pPr>
    </w:p>
    <w:p w:rsidR="00E84A67" w:rsidRDefault="00E84A67">
      <w:pPr>
        <w:pStyle w:val="ConsPlusTitle"/>
        <w:jc w:val="center"/>
      </w:pPr>
      <w:r>
        <w:t>ПРИКАЗ</w:t>
      </w:r>
    </w:p>
    <w:p w:rsidR="00E84A67" w:rsidRDefault="00E84A67">
      <w:pPr>
        <w:pStyle w:val="ConsPlusTitle"/>
        <w:jc w:val="center"/>
      </w:pPr>
      <w:r>
        <w:t>от 4 сентября 2025 г. N 9-нп</w:t>
      </w:r>
    </w:p>
    <w:p w:rsidR="00E84A67" w:rsidRDefault="00E84A67">
      <w:pPr>
        <w:pStyle w:val="ConsPlusTitle"/>
        <w:jc w:val="center"/>
      </w:pPr>
    </w:p>
    <w:p w:rsidR="00E84A67" w:rsidRDefault="00E84A67">
      <w:pPr>
        <w:pStyle w:val="ConsPlusTitle"/>
        <w:jc w:val="center"/>
      </w:pPr>
      <w:r>
        <w:t>О ВНЕСЕНИИ ИЗМЕНЕНИЙ В ПРИЛОЖЕНИЕ 6</w:t>
      </w:r>
      <w:proofErr w:type="gramStart"/>
      <w:r>
        <w:t xml:space="preserve"> К</w:t>
      </w:r>
      <w:proofErr w:type="gramEnd"/>
      <w:r>
        <w:t xml:space="preserve"> ПРИКАЗУ ДЕПАРТАМЕНТА</w:t>
      </w:r>
    </w:p>
    <w:p w:rsidR="00E84A67" w:rsidRDefault="00E84A67">
      <w:pPr>
        <w:pStyle w:val="ConsPlusTitle"/>
        <w:jc w:val="center"/>
      </w:pPr>
      <w:r>
        <w:t>ПРОМЫШЛЕННОСТИ ХАНТЫ-МАНСИЙСКОГО АВТОНОМНОГО ОКРУГА - ЮГРЫ</w:t>
      </w:r>
    </w:p>
    <w:p w:rsidR="00E84A67" w:rsidRDefault="00E84A67">
      <w:pPr>
        <w:pStyle w:val="ConsPlusTitle"/>
        <w:jc w:val="center"/>
      </w:pPr>
      <w:r>
        <w:t>ОТ 3 АПРЕЛЯ 2023 ГОДА N 6-НП "ОБ УТВЕРЖДЕНИИ ПОРЯДКОВ</w:t>
      </w:r>
    </w:p>
    <w:p w:rsidR="00E84A67" w:rsidRDefault="00E84A67">
      <w:pPr>
        <w:pStyle w:val="ConsPlusTitle"/>
        <w:jc w:val="center"/>
      </w:pPr>
      <w:r>
        <w:t>ПРЕДОСТАВЛЕНИЯ СУБСИДИЙ ЮРИДИЧЕСКИМ ЛИЦАМ, ИНДИВИДУАЛЬНЫМ</w:t>
      </w:r>
    </w:p>
    <w:p w:rsidR="00E84A67" w:rsidRDefault="00E84A67">
      <w:pPr>
        <w:pStyle w:val="ConsPlusTitle"/>
        <w:jc w:val="center"/>
      </w:pPr>
      <w:r>
        <w:t>ПРЕДПРИНИМАТЕЛЯМ В СФЕРЕ ТУРИЗМА"</w:t>
      </w:r>
    </w:p>
    <w:p w:rsidR="00E84A67" w:rsidRDefault="00E84A67">
      <w:pPr>
        <w:pStyle w:val="ConsPlusNormal"/>
        <w:ind w:firstLine="540"/>
        <w:jc w:val="both"/>
      </w:pPr>
    </w:p>
    <w:p w:rsidR="00E84A67" w:rsidRDefault="00E84A67">
      <w:pPr>
        <w:pStyle w:val="ConsPlusNormal"/>
        <w:ind w:firstLine="540"/>
        <w:jc w:val="both"/>
      </w:pPr>
      <w:proofErr w:type="gramStart"/>
      <w:r>
        <w:t xml:space="preserve">В соответствии с Бюджетным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октября 2023 года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</w:t>
      </w:r>
      <w:proofErr w:type="gramEnd"/>
      <w:r>
        <w:t xml:space="preserve"> </w:t>
      </w:r>
      <w:proofErr w:type="gramStart"/>
      <w:r>
        <w:t xml:space="preserve">отборов получателей указанных субсидий, в том числе грантов в форме субсидий", постановлениями Правительства Ханты-Мансийского автономного округа - Югры от 20 января 2023 года </w:t>
      </w:r>
      <w:hyperlink r:id="rId8">
        <w:r>
          <w:rPr>
            <w:color w:val="0000FF"/>
          </w:rPr>
          <w:t>N 17-п</w:t>
        </w:r>
      </w:hyperlink>
      <w:r>
        <w:t xml:space="preserve"> "О предоставлении субсидий из бюджета Ханты-Мансийского автономного округа - Югры, в том числе грантов в форме субсидий, юридическим лицам, индивидуальным предпринимателям, физическим лицам - производителям товаров, работ, услуг, некоммерческим организациям", от 10 ноября 2023 года </w:t>
      </w:r>
      <w:hyperlink r:id="rId9">
        <w:r>
          <w:rPr>
            <w:color w:val="0000FF"/>
          </w:rPr>
          <w:t>N 555-п</w:t>
        </w:r>
      </w:hyperlink>
      <w:r>
        <w:t xml:space="preserve"> "О</w:t>
      </w:r>
      <w:proofErr w:type="gramEnd"/>
      <w:r>
        <w:t xml:space="preserve"> государственной программе Ханты-Мансийского автономного округа - Югры "Развитие промышленности и туризма" приказываю: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10">
        <w:r>
          <w:rPr>
            <w:color w:val="0000FF"/>
          </w:rPr>
          <w:t>приложение 6</w:t>
        </w:r>
      </w:hyperlink>
      <w:r>
        <w:t xml:space="preserve"> к приказу Департамента промышленности Ханты-Мансийского автономного округа - Югры от 3 апреля 2023 года N 6-нп "Об утверждении Порядков предоставления субсидий юридическим лицам, индивидуальным предпринимателям в сфере туризма" следующие изменения: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1. В </w:t>
      </w:r>
      <w:hyperlink r:id="rId11">
        <w:r>
          <w:rPr>
            <w:color w:val="0000FF"/>
          </w:rPr>
          <w:t>пункте 1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1.1. После </w:t>
      </w:r>
      <w:hyperlink r:id="rId12">
        <w:r>
          <w:rPr>
            <w:color w:val="0000FF"/>
          </w:rPr>
          <w:t>слов</w:t>
        </w:r>
      </w:hyperlink>
      <w:r>
        <w:t xml:space="preserve"> "Об утверждении государственной программы Российской Федерации "Развитие туризма" дополнить словами "(далее - государственная программа "Развитие туризма")".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1.2. Слова </w:t>
      </w:r>
      <w:hyperlink r:id="rId13">
        <w:r>
          <w:rPr>
            <w:color w:val="0000FF"/>
          </w:rPr>
          <w:t>"в 2024 году"</w:t>
        </w:r>
      </w:hyperlink>
      <w:r>
        <w:t>, "</w:t>
      </w:r>
      <w:hyperlink r:id="rId14">
        <w:r>
          <w:rPr>
            <w:color w:val="0000FF"/>
          </w:rPr>
          <w:t>заявитель</w:t>
        </w:r>
      </w:hyperlink>
      <w:r>
        <w:t>,"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По </w:t>
      </w:r>
      <w:hyperlink r:id="rId15">
        <w:r>
          <w:rPr>
            <w:color w:val="0000FF"/>
          </w:rPr>
          <w:t>тексту</w:t>
        </w:r>
      </w:hyperlink>
      <w:r>
        <w:t xml:space="preserve"> слово "заявитель" в соответствующих числе и падеже заменить словами "получатель Субсидии" в соответствующих числе и падеже.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3. </w:t>
      </w:r>
      <w:hyperlink r:id="rId16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"3. Субсидия предоставляется получателю Субсидии в целях достижения показателя "Количество туристических поездок по территории Российской Федерации" регионального проекта "Создание номерного фонда, инфраструктуры и новых точек притяжения" государственной </w:t>
      </w:r>
      <w:hyperlink r:id="rId17">
        <w:r>
          <w:rPr>
            <w:color w:val="0000FF"/>
          </w:rPr>
          <w:t>программы</w:t>
        </w:r>
      </w:hyperlink>
      <w:r>
        <w:t xml:space="preserve"> автономного округа "Развитие промышленности и туризма", утвержденной постановлением Правительства автономного округа от 10 ноября 2023 года N 555-п.</w:t>
      </w:r>
    </w:p>
    <w:p w:rsidR="00E84A67" w:rsidRDefault="00E84A67">
      <w:pPr>
        <w:pStyle w:val="ConsPlusNormal"/>
        <w:spacing w:before="220"/>
        <w:ind w:firstLine="540"/>
        <w:jc w:val="both"/>
      </w:pPr>
      <w:proofErr w:type="gramStart"/>
      <w:r>
        <w:lastRenderedPageBreak/>
        <w:t>Субсидия предоставляется в пределах бюджетных ассигнований, предусмотренных в бюджете автономного округа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Субсидии, а также в пределах общего объема бюджетных ассигнований, предусмотренных соглашением о предоставлении единой субсидии из федерального бюджета бюджетам субъектов Российской Федерации в целях достижения показателя государственной программы "Развитие туризма", заключенным между</w:t>
      </w:r>
      <w:proofErr w:type="gramEnd"/>
      <w:r>
        <w:t xml:space="preserve"> Министерством экономического развития Российской Федерации и Правительством автономного округа на текущий финансовый год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 В </w:t>
      </w:r>
      <w:hyperlink r:id="rId18">
        <w:r>
          <w:rPr>
            <w:color w:val="0000FF"/>
          </w:rPr>
          <w:t>пункте 4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4.1. </w:t>
      </w:r>
      <w:hyperlink r:id="rId19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"4. </w:t>
      </w:r>
      <w:proofErr w:type="gramStart"/>
      <w:r>
        <w:t xml:space="preserve">Субсидия предоставляется получателю Субсидии на финансовое обеспечение затрат в размере, не превышающем 80 процентов указанных затрат, но не более объема средств, распределяемых в рамках отбора, осуществляемого в порядке, установленном </w:t>
      </w:r>
      <w:hyperlink r:id="rId20">
        <w:r>
          <w:rPr>
            <w:color w:val="0000FF"/>
          </w:rPr>
          <w:t>Правилами</w:t>
        </w:r>
      </w:hyperlink>
      <w:r>
        <w:t xml:space="preserve">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</w:t>
      </w:r>
      <w:proofErr w:type="gramEnd"/>
      <w:r>
        <w:t xml:space="preserve"> постановлением Правительства Российской Федерации от 25 октября 2023 года N 1781 (далее - отбор), на текущий год (без учета налога на добавленную стоимость), на осуществление проекта, направленного на реализацию следующих мероприятий</w:t>
      </w:r>
      <w:proofErr w:type="gramStart"/>
      <w:r>
        <w:t>:"</w:t>
      </w:r>
      <w:proofErr w:type="gramEnd"/>
      <w:r>
        <w:t>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4.2. </w:t>
      </w:r>
      <w:hyperlink r:id="rId21">
        <w:r>
          <w:rPr>
            <w:color w:val="0000FF"/>
          </w:rPr>
          <w:t>Подпункт 4.1.1.4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"4.1.1.4. Создание или приобретение, установка некапитальных объектов общественного питания (за исключением фургонов или специализированных автомобильных прицепов, оборудованных для приготовления, хранения и продажи готовой еды).".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4.3. В </w:t>
      </w:r>
      <w:hyperlink r:id="rId22">
        <w:r>
          <w:rPr>
            <w:color w:val="0000FF"/>
          </w:rPr>
          <w:t>подпункте 4.1.2.1</w:t>
        </w:r>
      </w:hyperlink>
      <w:r>
        <w:t xml:space="preserve"> слова "туристских ресурсов в составе национального туристского маршрута (некапитальное строительство)" заменить словами "некапитальных туристских ресурсов в составе национального туристского маршрута".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4.4. В </w:t>
      </w:r>
      <w:hyperlink r:id="rId23">
        <w:r>
          <w:rPr>
            <w:color w:val="0000FF"/>
          </w:rPr>
          <w:t>подпункте 4.1.2.3</w:t>
        </w:r>
      </w:hyperlink>
      <w:r>
        <w:t xml:space="preserve"> слова "туристских информационных центров (формы некапитального строительства)" заменить словами "некапитальных туристских информационных центров".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4.5. </w:t>
      </w:r>
      <w:hyperlink r:id="rId24">
        <w:r>
          <w:rPr>
            <w:color w:val="0000FF"/>
          </w:rPr>
          <w:t>Подпункт 4.2.1.2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"4.2.1.2. Приобретение туристского оборудования (не являющегося транспортным средством и его элементами), в том числе используемого в целях обеспечения эксплуатации и обустройства объектов туристской инфраструктуры и показа, туристских информационных центров, пунктов проката, детских и спортивных комплексов, комнат матери и ребенка и пунктов телемедицины.".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4.6. </w:t>
      </w:r>
      <w:hyperlink r:id="rId25">
        <w:r>
          <w:rPr>
            <w:color w:val="0000FF"/>
          </w:rPr>
          <w:t>Дополнить</w:t>
        </w:r>
      </w:hyperlink>
      <w:r>
        <w:t xml:space="preserve"> подпунктами 4.4 - 4.4.8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"4.4. </w:t>
      </w:r>
      <w:proofErr w:type="gramStart"/>
      <w:r>
        <w:t>Создание некапитальных объектов туристской инфраструктуры в автономном округе вблизи автомобильных дорог федерального, регионального, межмуниципального и местного значения в составе автомобильных туристских маршрутов, утвержденных Департаментом в соответствии с пунктом 19(2) Правил предоставления и распределения единой субсидии из федерального бюджета бюджетам субъектов Российской Федерации в целях достижения показателя государственной программы "Развитие туризма":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>4.4.1. Создание или приобретение, установка элементов систем навигации, а также обеспечение брендирования автомобильного туристского маршрута, создание единого дизайн-кода.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lastRenderedPageBreak/>
        <w:t>4.4.2. Создание или установка некапитальных туристских информационных центров, а также точек продажи региональной продукции (за исключением приобретения и производства продукции, включая сувениры и изделия народных художественных промыслов), которые могут быть расположены в составе многофункциональных зон дорожного сервиса и площадок отдыха.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4.4.3. Создание или приобретение, установка некапитальных объектов общественного питания (за исключением фургонов или специализированных автомобильных прицепов, оборудованных для приготовления, хранения и продажи готовой еды), которые могут быть расположены в составе многофункциональных зон дорожного сервиса и площадок отдыха.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Создание или приобретение, установка объектов кемпинг-размещения, кемпстоянок, навесных конструкций для транспортных средств, а также приобретение кемпинговых палаток и других видов оборудования, используемого для организации пребывания (ночлега), включающих обустройство жилой и рекреационной зон, оборудование санитарных узлов (мест общего пользования), обеспечение доступа для лиц с ограниченными возможностями здоровья, создание системы визуальной информации и навигации.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Приобретение туристского оборудования (не являющегося транспортным средством и его элементами), в том числе используемого в целях обеспечения эксплуатации и обустройства объектов туристской инфраструктуры и показа, туристских информационных центров, пунктов проката, детских и спортивных комплексов, комнат матери и ребенка и пунктов телемедицины, в том числе в целях обеспечения функционирования многофункциональных зон дорожного сервиса и площадок отдыха.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>4.4.6. Создание электронных путеводителей по автомобильным туристским маршрутам, в том числе мобильных приложений и аудиогидов.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4.4.7. Создание или приобретение, установка некапитальных спортивных площадок, санитарных модулей, модульных прачечных и душевых комнат, модульных комнат матери и ребенка и пунктов телемедицины в составе многофункциональных зон дорожного сервиса и площадок отдыха, а также оборудования к ним.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4.4.8. </w:t>
      </w:r>
      <w:proofErr w:type="gramStart"/>
      <w:r>
        <w:t>Создание и развитие доступной туристской среды для лиц с ограниченными возможностями здоровья, стимулирование развития инклюзивного туризма, в том числе оборудование пандусов, подъемников, адаптационные работы и иные проекты по созданию безбарьерной среды, среды для лиц с ограниченными возможностями здоровья по зрению и слуху в составе многофункциональных зон дорожного сервиса и площадок отдыха.".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5. В </w:t>
      </w:r>
      <w:hyperlink r:id="rId26">
        <w:r>
          <w:rPr>
            <w:color w:val="0000FF"/>
          </w:rPr>
          <w:t>пункте 5</w:t>
        </w:r>
      </w:hyperlink>
      <w:r>
        <w:t xml:space="preserve"> слова "на 2024 год"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6. </w:t>
      </w:r>
      <w:hyperlink r:id="rId27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"7. Субсидия предоставляется по результатам отбора, проводимого Департаментом в форме запроса предложений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7. </w:t>
      </w:r>
      <w:hyperlink r:id="rId28">
        <w:r>
          <w:rPr>
            <w:color w:val="0000FF"/>
          </w:rPr>
          <w:t>Пункт 8</w:t>
        </w:r>
      </w:hyperlink>
      <w:r>
        <w:t xml:space="preserve"> признать утратившим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 В </w:t>
      </w:r>
      <w:hyperlink r:id="rId29">
        <w:r>
          <w:rPr>
            <w:color w:val="0000FF"/>
          </w:rPr>
          <w:t>пункте 9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8.1. </w:t>
      </w:r>
      <w:hyperlink r:id="rId30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"9. Требования, которым должен соответствовать получатель Субсидии, имеющий право на получение Субсидии, на дату заключения соглашения о предоставлении Субсидии (далее - Соглашение):".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8.2. </w:t>
      </w:r>
      <w:hyperlink r:id="rId31">
        <w:r>
          <w:rPr>
            <w:color w:val="0000FF"/>
          </w:rPr>
          <w:t>Абзац четвертый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lastRenderedPageBreak/>
        <w:t>"не получать средства из бюджета автономного округа на основании иных нормативных правовых актов автономного округа на цель, указанную в пункте 3 настоящего Порядка;".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8.3. После </w:t>
      </w:r>
      <w:hyperlink r:id="rId32">
        <w:r>
          <w:rPr>
            <w:color w:val="0000FF"/>
          </w:rPr>
          <w:t>абзаца четвертого</w:t>
        </w:r>
      </w:hyperlink>
      <w:r>
        <w:t xml:space="preserve"> дополнить абзацем пятым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"не получать средства из иных бюджетов бюджетной системы Российской Федерации на основании иных нормативных правовых актов на цель, указанную в пункте 3 настоящего Порядка</w:t>
      </w:r>
      <w:proofErr w:type="gramStart"/>
      <w:r>
        <w:t>;"</w:t>
      </w:r>
      <w:proofErr w:type="gramEnd"/>
      <w:r>
        <w:t>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8.4. </w:t>
      </w:r>
      <w:hyperlink r:id="rId33">
        <w:r>
          <w:rPr>
            <w:color w:val="0000FF"/>
          </w:rPr>
          <w:t>Абзац седьмой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"не иметь просроченной задолженности по возврату в бюджет автономного округа иных субсидий, бюджетных инвестиций, а также иной просроченной (неурегулированной) задолженности по денежным обязательствам перед автономным округом в соответствии с настоящим Порядком (за исключением случаев, установленных Правительством автономного округа);".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8.5. </w:t>
      </w:r>
      <w:hyperlink r:id="rId34">
        <w:r>
          <w:rPr>
            <w:color w:val="0000FF"/>
          </w:rPr>
          <w:t>Строки 3</w:t>
        </w:r>
      </w:hyperlink>
      <w:r>
        <w:t xml:space="preserve"> - </w:t>
      </w:r>
      <w:hyperlink r:id="rId35">
        <w:r>
          <w:rPr>
            <w:color w:val="0000FF"/>
          </w:rPr>
          <w:t>5 таблицы</w:t>
        </w:r>
      </w:hyperlink>
      <w:r>
        <w:t xml:space="preserve"> признать утратившими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8.6. </w:t>
      </w:r>
      <w:hyperlink r:id="rId36">
        <w:r>
          <w:rPr>
            <w:color w:val="0000FF"/>
          </w:rPr>
          <w:t>Абзац двенадцатый</w:t>
        </w:r>
      </w:hyperlink>
      <w:r>
        <w:t xml:space="preserve"> признать утратившим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9. В </w:t>
      </w:r>
      <w:hyperlink r:id="rId37">
        <w:r>
          <w:rPr>
            <w:color w:val="0000FF"/>
          </w:rPr>
          <w:t>пункте 10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9.1. В </w:t>
      </w:r>
      <w:hyperlink r:id="rId38">
        <w:r>
          <w:rPr>
            <w:color w:val="0000FF"/>
          </w:rPr>
          <w:t>абзаце третьем</w:t>
        </w:r>
      </w:hyperlink>
      <w:r>
        <w:t xml:space="preserve"> слова "участнику отбора" заменить словами "получателю Субсидии".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9.2. В </w:t>
      </w:r>
      <w:hyperlink r:id="rId39">
        <w:r>
          <w:rPr>
            <w:color w:val="0000FF"/>
          </w:rPr>
          <w:t>абзаце пятом</w:t>
        </w:r>
      </w:hyperlink>
      <w:r>
        <w:t xml:space="preserve"> после слова "собственных" дополнить словом "средств".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9.3. </w:t>
      </w:r>
      <w:hyperlink r:id="rId40">
        <w:r>
          <w:rPr>
            <w:color w:val="0000FF"/>
          </w:rPr>
          <w:t>Абзац шестой</w:t>
        </w:r>
      </w:hyperlink>
      <w:r>
        <w:t xml:space="preserve"> признать утратившим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9.4. </w:t>
      </w:r>
      <w:hyperlink r:id="rId41">
        <w:r>
          <w:rPr>
            <w:color w:val="0000FF"/>
          </w:rPr>
          <w:t>Дополнить</w:t>
        </w:r>
      </w:hyperlink>
      <w:r>
        <w:t xml:space="preserve"> пунктом 10.1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"10.1. Расчет затрат, подлежащих субсидированию, осуществляется без учета налога на добавленную стоимость.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Для получателя Субсидии, использующего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10. В </w:t>
      </w:r>
      <w:hyperlink r:id="rId42">
        <w:r>
          <w:rPr>
            <w:color w:val="0000FF"/>
          </w:rPr>
          <w:t>пункте 11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10.1. В </w:t>
      </w:r>
      <w:hyperlink r:id="rId43">
        <w:r>
          <w:rPr>
            <w:color w:val="0000FF"/>
          </w:rPr>
          <w:t>абзаце первом</w:t>
        </w:r>
      </w:hyperlink>
      <w:r>
        <w:t xml:space="preserve"> слова "20 декабря 2024 года" заменить словами "25 декабря года, в котором предоставлена Субсидия,".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10.2. </w:t>
      </w:r>
      <w:hyperlink r:id="rId44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"В случае недостаточности лимита (остатка лимита) финансирования на предоставление Субсидии при согласии получателя Субсидии Субсидия предоставляется в пределах остатка нераспределенного размера Субсидии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11. В </w:t>
      </w:r>
      <w:hyperlink r:id="rId45">
        <w:r>
          <w:rPr>
            <w:color w:val="0000FF"/>
          </w:rPr>
          <w:t>пункте 12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11.1. В </w:t>
      </w:r>
      <w:hyperlink r:id="rId46">
        <w:r>
          <w:rPr>
            <w:color w:val="0000FF"/>
          </w:rPr>
          <w:t>абзаце втором</w:t>
        </w:r>
      </w:hyperlink>
      <w:r>
        <w:t xml:space="preserve"> после слов "настоящего Порядка" дополнить словами ", без учета налога на добавленную стоимость".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11.2. </w:t>
      </w:r>
      <w:hyperlink r:id="rId47">
        <w:r>
          <w:rPr>
            <w:color w:val="0000FF"/>
          </w:rPr>
          <w:t>Абзац третий</w:t>
        </w:r>
      </w:hyperlink>
      <w:r>
        <w:t xml:space="preserve"> признать утратившим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11.3. В </w:t>
      </w:r>
      <w:hyperlink r:id="rId48">
        <w:r>
          <w:rPr>
            <w:color w:val="0000FF"/>
          </w:rPr>
          <w:t>абзаце четвертом</w:t>
        </w:r>
      </w:hyperlink>
      <w:r>
        <w:t xml:space="preserve"> слова "и налоговые выплаты"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lastRenderedPageBreak/>
        <w:t xml:space="preserve">12. В </w:t>
      </w:r>
      <w:hyperlink r:id="rId49">
        <w:r>
          <w:rPr>
            <w:color w:val="0000FF"/>
          </w:rPr>
          <w:t>пункте 13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12.1. После </w:t>
      </w:r>
      <w:hyperlink r:id="rId50">
        <w:r>
          <w:rPr>
            <w:color w:val="0000FF"/>
          </w:rPr>
          <w:t>слова</w:t>
        </w:r>
      </w:hyperlink>
      <w:r>
        <w:t xml:space="preserve"> "договоров" дополнить словом "(соглашений)".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12.2. </w:t>
      </w:r>
      <w:hyperlink r:id="rId51">
        <w:r>
          <w:rPr>
            <w:color w:val="0000FF"/>
          </w:rPr>
          <w:t>Слова</w:t>
        </w:r>
      </w:hyperlink>
      <w:r>
        <w:t xml:space="preserve"> "разделом V Общих требований" заменить словами "настоящим Порядком".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13. В </w:t>
      </w:r>
      <w:hyperlink r:id="rId52">
        <w:r>
          <w:rPr>
            <w:color w:val="0000FF"/>
          </w:rPr>
          <w:t>пункте 14</w:t>
        </w:r>
      </w:hyperlink>
      <w:r>
        <w:t xml:space="preserve"> после слова "договоров" дополнить словом "(соглашений)".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14. В </w:t>
      </w:r>
      <w:hyperlink r:id="rId53">
        <w:r>
          <w:rPr>
            <w:color w:val="0000FF"/>
          </w:rPr>
          <w:t>пункте 15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14.1. В </w:t>
      </w:r>
      <w:hyperlink r:id="rId54">
        <w:r>
          <w:rPr>
            <w:color w:val="0000FF"/>
          </w:rPr>
          <w:t>абзаце первом</w:t>
        </w:r>
      </w:hyperlink>
      <w:r>
        <w:t xml:space="preserve"> слова "на стадии подписания Соглашения"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14.2. после </w:t>
      </w:r>
      <w:hyperlink r:id="rId55">
        <w:r>
          <w:rPr>
            <w:color w:val="0000FF"/>
          </w:rPr>
          <w:t>абзаца первого</w:t>
        </w:r>
      </w:hyperlink>
      <w:r>
        <w:t xml:space="preserve"> дополнить абзацем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</w:t>
      </w:r>
      <w:proofErr w:type="gramStart"/>
      <w:r>
        <w:t>;"</w:t>
      </w:r>
      <w:proofErr w:type="gramEnd"/>
      <w:r>
        <w:t>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14.3. В </w:t>
      </w:r>
      <w:hyperlink r:id="rId56">
        <w:r>
          <w:rPr>
            <w:color w:val="0000FF"/>
          </w:rPr>
          <w:t>абзаце пятом</w:t>
        </w:r>
      </w:hyperlink>
      <w:r>
        <w:t xml:space="preserve"> цифры "21" заменить цифрами "16.1".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15. После </w:t>
      </w:r>
      <w:hyperlink r:id="rId57">
        <w:r>
          <w:rPr>
            <w:color w:val="0000FF"/>
          </w:rPr>
          <w:t>пункта 15</w:t>
        </w:r>
      </w:hyperlink>
      <w:r>
        <w:t xml:space="preserve"> дополнить пунктом 15.1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"15.1. В целях заключения Соглашения в течение 3 рабочих дней со дня, следующего за днем </w:t>
      </w:r>
      <w:proofErr w:type="gramStart"/>
      <w:r>
        <w:t>размещения протокола подведения итогов отбора</w:t>
      </w:r>
      <w:proofErr w:type="gramEnd"/>
      <w:r>
        <w:t xml:space="preserve">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бюджет"), Департамент издает приказ о заключении Соглашения (й) с победителем (победителями) отбора.".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16. </w:t>
      </w:r>
      <w:hyperlink r:id="rId58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"16. Предоставление Субсидии осуществляется на основании Соглашения, заключаемого между получателем Субсидии и Департаментом в соответствии с типовой формой, утвержденной Министерством финансов Российской Федерации.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Соглашение формируется в системе "Электронный бюджет"</w:t>
      </w:r>
      <w:proofErr w:type="gramStart"/>
      <w:r>
        <w:t>."</w:t>
      </w:r>
      <w:proofErr w:type="gramEnd"/>
      <w:r>
        <w:t>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17. После </w:t>
      </w:r>
      <w:hyperlink r:id="rId59">
        <w:r>
          <w:rPr>
            <w:color w:val="0000FF"/>
          </w:rPr>
          <w:t>пункта 16</w:t>
        </w:r>
      </w:hyperlink>
      <w:r>
        <w:t xml:space="preserve"> дополнить пунктами 16.1 - 16.4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"16.1. Для заключения Соглашения получатель Субсидии в течение 2 рабочих дней со дня направления Департаментом Соглашения подписывает его усиленной квалифицированной электронной подписью в системе "Электронный бюджет", направляет в Департамент в день его подписания.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В целях подтверждения соответствия требованиям, указанным в пункте 9 настоящего Порядка, получатель Субсидии направляет в Департамент в срок не ранее дня направления Департаментом получателю Субсидии Соглашения в системе "Электронный бюджет", но не позднее дня направления получателю Субсидии Соглашения в системе "Электронный бюджет" </w:t>
      </w:r>
      <w:proofErr w:type="gramStart"/>
      <w:r>
        <w:t>в</w:t>
      </w:r>
      <w:proofErr w:type="gramEnd"/>
      <w:r>
        <w:t xml:space="preserve"> </w:t>
      </w:r>
      <w:proofErr w:type="gramStart"/>
      <w:r>
        <w:t>Департаментом</w:t>
      </w:r>
      <w:proofErr w:type="gramEnd"/>
      <w:r>
        <w:t xml:space="preserve"> следующие документы: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справку на дату заключения Соглашения, подписанную руководителем получателя Субсидии, или иным лицом, уполномоченным надлежащим образом, о неполучении средств из бюджета автономного округа, иных бюджетов бюджетной системы Российской Федерации на основании иных нормативных правовых актов на цель, указанную в пункте 3 настоящего Порядка;</w:t>
      </w:r>
    </w:p>
    <w:p w:rsidR="00E84A67" w:rsidRDefault="00E84A67">
      <w:pPr>
        <w:pStyle w:val="ConsPlusNormal"/>
        <w:spacing w:before="220"/>
        <w:ind w:firstLine="540"/>
        <w:jc w:val="both"/>
      </w:pPr>
      <w:proofErr w:type="gramStart"/>
      <w:r>
        <w:t xml:space="preserve">документ, выданный держателем реестра владельцев ценных бумаг акционерного общества на дату заключения Соглашения, о размере доли в уставном капитале получателя Субсидии офшорных компаний, местом регистрации которых является государство или </w:t>
      </w:r>
      <w:r>
        <w:lastRenderedPageBreak/>
        <w:t>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(для акционерных обществ);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>справку на дату заключения Соглашения, подписанную руководителем получателя Субсидии, или иным лицом, уполномоченным надлежащим образом, о просроченной задолженности по возврату в бюджет автономного округа субсидий, бюджетных инвестиций, а также иной просроченной (неурегулированной) задолженности по денежным обязательствам перед автономным округом по форме, установленной Департаментом финансов автономного округа.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Документы, указанные в настоящем пункте, представляются получателем Субсидии в Департамент в виде оригиналов и (или) их копий, заверенных в законодательно установленном порядке, на бумажных носителях непосредственно или через представителя, или направляются на адрес электронной почты Департамента (depprom@admhmao.ru) с адреса электронной почты получателя Субсидии.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Документы должны быть написаны разборчиво по содержанию текста, подписаны уполномоченными лицами, наименования юридических лиц употребляются в соответствие с их официально установленными наименованиями.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Получатель Субсидии несет ответственность за достоверность предоставленной информации в соответствии с действующим законодательством Российской Федерации.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16.2. Департамент в случае отсутствия технической возможности осуществления автоматической проверки в системе "Электронный бюджет" для подтверждения соответствия получателя Субсидии требованиям, установленным пунктом 9 настоящего Порядка: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- запрашивает и получает посредством межведомственного запроса, в том числе в электронной форме с использованием единой системы межведомственного информационного взаимодействия в соответствии с законодательством Российской Федерации: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в Федеральной налоговой службе сведения о том, что на едином налоговом счете отсутствует или не превышает размер, определенный </w:t>
      </w:r>
      <w:hyperlink r:id="rId60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- осуществляет проверку на официальных сайтах в сети "Интернет":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Федеральной службы по финансовому мониторингу: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на предмет наличия либо отсутствия информации о получателе Субсидии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на предмет наличия либо отсутствия информации о получателе Субсидии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составляемых в рамках реализации полномочий, предусмотренных </w:t>
      </w:r>
      <w:hyperlink r:id="rId6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Министерства юстиции Российской Федерации на предмет наличия либо отсутствия информации о получателе Субсидии в реестре иностранных агентов;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Федеральной налоговой службы: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lastRenderedPageBreak/>
        <w:t>на предмет наличия либо отсутствия информации о получателе Субсидии в реестре дисквалифицированных лиц;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на предмет нахождения на налоговом учете и осуществления деятельности на территории автономного округа в соответствии с видами и группировками экономической деятельности согласно Общероссийскому </w:t>
      </w:r>
      <w:hyperlink r:id="rId62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</w:t>
      </w:r>
      <w:proofErr w:type="gramStart"/>
      <w:r>
        <w:t>ОК</w:t>
      </w:r>
      <w:proofErr w:type="gramEnd"/>
      <w:r>
        <w:t xml:space="preserve"> 029-2014 (КДЕС РЕД. 2), утвержденному приказом Федерального агентства по техническому регулированию и метрологии от 31 января 2014 года N 14-ст, в сервисе "Предоставление сведений из ЕГРЮЛ/ЕГРИП";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на предмет наличия сведений о реорганизации, ликвидации юридического лица, прекращении деятельности индивидуального предпринимателя в качестве такового в сервисе "Предоставление сведений из ЕГРЮЛ/ЕГРИП";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сведения о руководителе юридического лица (фамилия, имя отчество, ИНН) в сервисе "Предоставление сведений из ЕГРЮЛ/ЕГРИП".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16.3. При наличии оснований для отказа, указанных в пункте 15 настоящего Порядка, Департамент издает приказ об отказе в заключени</w:t>
      </w:r>
      <w:proofErr w:type="gramStart"/>
      <w:r>
        <w:t>и</w:t>
      </w:r>
      <w:proofErr w:type="gramEnd"/>
      <w:r>
        <w:t xml:space="preserve"> Соглашения и направляет сформированное уведомление получателю Субсидии в системе "Электронный бюджет".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16.4. Департамент после предоставления получателем Субсидии подписанного Соглашения в течение 3 рабочих дней со </w:t>
      </w:r>
      <w:proofErr w:type="gramStart"/>
      <w:r>
        <w:t>дня</w:t>
      </w:r>
      <w:proofErr w:type="gramEnd"/>
      <w:r>
        <w:t xml:space="preserve"> следующего за днем подтверждения соответствия получателя Субсидии требованиям, установленным в пункте 9 настоящего Порядка, подписывает его и направляет получателю Субсидии с использованием системы "Электронный бюджет".".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18. </w:t>
      </w:r>
      <w:hyperlink r:id="rId63">
        <w:r>
          <w:rPr>
            <w:color w:val="0000FF"/>
          </w:rPr>
          <w:t>Пункт 17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"17. Для получения Субсидии получатель Субсидии представляет в Департамент заявление и документы для оплаты денежных обязательств, исчерпывающий перечень и </w:t>
      </w:r>
      <w:proofErr w:type="gramStart"/>
      <w:r>
        <w:t>сроки</w:t>
      </w:r>
      <w:proofErr w:type="gramEnd"/>
      <w:r>
        <w:t xml:space="preserve"> представления которых устанавливаются Соглашением.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Документы, указанные в настоящее </w:t>
      </w:r>
      <w:proofErr w:type="gramStart"/>
      <w:r>
        <w:t>пункте</w:t>
      </w:r>
      <w:proofErr w:type="gramEnd"/>
      <w:r>
        <w:t>, представляются получателем Субсидии в Департамент на бумажных носителях непосредственно или через представителя, или на адрес электронной почты Департамента (depprom@admhmao.ru) с адреса электронной почты получателя Субсидии.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Документы должны быть написаны разборчиво по содержанию текста, подписаны уполномоченными лицами, наименования юридических лиц употребляются в соответствие с их официально установленными наименованиями.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Получатель Субсидии несет ответственность за достоверность предоставленной информации в соответствии с действующим законодательством Российской Федерации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19. После </w:t>
      </w:r>
      <w:hyperlink r:id="rId64">
        <w:r>
          <w:rPr>
            <w:color w:val="0000FF"/>
          </w:rPr>
          <w:t>пункта 17</w:t>
        </w:r>
      </w:hyperlink>
      <w:r>
        <w:t xml:space="preserve"> дополнить пунктами 17.1 - 17.2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"17.1. Днем обращения за Субсидией считается дата регистрации Департаментом заявления с приложенными к нему документами.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17.2. По результатам рассмотрения заявления и документов, представленных получателем Субсидии, Департамент в течение 5 рабочих дней со дня, следующего за днем окончания срока рассмотрения документов, принимает решение в форме приказа о предоставлении Субсидии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 </w:t>
      </w:r>
      <w:hyperlink r:id="rId65">
        <w:r>
          <w:rPr>
            <w:color w:val="0000FF"/>
          </w:rPr>
          <w:t>пункте 18</w:t>
        </w:r>
      </w:hyperlink>
      <w:r>
        <w:t xml:space="preserve"> слова "7-го", "предоставления получателем Субсидии в Департамент заявления и документов для оплаты денежных обязательств" заменить словами "10-го", "принятия Департаментом по результатам рассмотрения и проверки им документов, указанных в </w:t>
      </w:r>
      <w:r>
        <w:lastRenderedPageBreak/>
        <w:t>пункте 17 настоящего Порядка, решения о предоставлении Субсидии в форме приказа, принятого в соответствии с пунктом 17.2 настоящего Порядка" соответственно.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21. После </w:t>
      </w:r>
      <w:hyperlink r:id="rId66">
        <w:r>
          <w:rPr>
            <w:color w:val="0000FF"/>
          </w:rPr>
          <w:t>пункта 19</w:t>
        </w:r>
      </w:hyperlink>
      <w:r>
        <w:t xml:space="preserve"> слова "III. Условия и порядок заключения Соглашения"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22. </w:t>
      </w:r>
      <w:hyperlink r:id="rId67">
        <w:r>
          <w:rPr>
            <w:color w:val="0000FF"/>
          </w:rPr>
          <w:t>Пункты 20</w:t>
        </w:r>
      </w:hyperlink>
      <w:r>
        <w:t xml:space="preserve"> - </w:t>
      </w:r>
      <w:hyperlink r:id="rId68">
        <w:r>
          <w:rPr>
            <w:color w:val="0000FF"/>
          </w:rPr>
          <w:t>24</w:t>
        </w:r>
      </w:hyperlink>
      <w:r>
        <w:t xml:space="preserve"> признать утратившими силу.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23. </w:t>
      </w:r>
      <w:hyperlink r:id="rId69">
        <w:r>
          <w:rPr>
            <w:color w:val="0000FF"/>
          </w:rPr>
          <w:t>Пункт 25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"25. </w:t>
      </w:r>
      <w:proofErr w:type="gramStart"/>
      <w:r>
        <w:t>Результатом предоставления Субсидии является реализация мероприятий, обеспечивающих вклад в достижение значения показателя "Количество туристических поездок по территории Российской Федерации" (тип мероприятия (результата) - оказание услуг (выполнение работ).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>Для получателя Субсидии значение результата предоставления Субсидии равно численности размещенных лиц, указанной в отчетности в Федеральную службу государственной статистики по форме N 1-КСР "Сведения о деятельности коллективного средства размещения".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Значение результата предоставления Субсидии устанавливается </w:t>
      </w:r>
      <w:proofErr w:type="gramStart"/>
      <w:r>
        <w:t>в Соглашении на основании предоставленных получателем Субсидии сведений о плановой численности размещенных лиц в средстве размещения в году</w:t>
      </w:r>
      <w:proofErr w:type="gramEnd"/>
      <w:r>
        <w:t>, в котором планируется получение Субсидии, но в размере не меньшем, чем в предыдущем году. Значение результата предоставления Субсидии должно быть достигнуто не позднее 31 декабря финансового года, в котором предоставлена Субсидия.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Департамент осуществляет оценку </w:t>
      </w:r>
      <w:proofErr w:type="gramStart"/>
      <w:r>
        <w:t>достижения значения результата предоставления Субсидии</w:t>
      </w:r>
      <w:proofErr w:type="gramEnd"/>
      <w:r>
        <w:t xml:space="preserve"> на основании представленной получателем Субсидии отчетности.".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24. В </w:t>
      </w:r>
      <w:hyperlink r:id="rId70">
        <w:r>
          <w:rPr>
            <w:color w:val="0000FF"/>
          </w:rPr>
          <w:t>пункте 27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24.1. Слова </w:t>
      </w:r>
      <w:hyperlink r:id="rId71">
        <w:r>
          <w:rPr>
            <w:color w:val="0000FF"/>
          </w:rPr>
          <w:t>"5 (пяти)"</w:t>
        </w:r>
      </w:hyperlink>
      <w:r>
        <w:t>, "</w:t>
      </w:r>
      <w:hyperlink r:id="rId72">
        <w:r>
          <w:rPr>
            <w:color w:val="0000FF"/>
          </w:rPr>
          <w:t>(для получателей субсидии</w:t>
        </w:r>
      </w:hyperlink>
      <w:r>
        <w:t>, имеющих ОКВЭДы: 55.1, 55.2, 86.90.4)" заменить словами "3", "и Департамент в течение 3 лет с года предоставления Субсидии" соответственно.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24.2. В </w:t>
      </w:r>
      <w:hyperlink r:id="rId73">
        <w:r>
          <w:rPr>
            <w:color w:val="0000FF"/>
          </w:rPr>
          <w:t>абзаце четвертом</w:t>
        </w:r>
      </w:hyperlink>
      <w:r>
        <w:t xml:space="preserve"> после слова "расходов" дополнить словами ", предоставленным получателем Субсидии в рамках участия в отборе".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24.3. </w:t>
      </w:r>
      <w:hyperlink r:id="rId74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"В Соглашении также устанавливаются: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значение результата предоставления Субсидии и точная дата достижения результата предоставления Субсидии;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план мероприятий по достижению результатов предоставления Субсидии (контрольные точки) (далее - План мероприятий) и обязанность получателя Субсидии по представлению отчета о реализации Плана мероприятий. План мероприятий формируется на текущий финансовый год с указанием одной контрольной точки в квартал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25. </w:t>
      </w:r>
      <w:hyperlink r:id="rId75">
        <w:r>
          <w:rPr>
            <w:color w:val="0000FF"/>
          </w:rPr>
          <w:t>Пункты 31</w:t>
        </w:r>
      </w:hyperlink>
      <w:r>
        <w:t xml:space="preserve"> - </w:t>
      </w:r>
      <w:hyperlink r:id="rId76">
        <w:r>
          <w:rPr>
            <w:color w:val="0000FF"/>
          </w:rPr>
          <w:t>33</w:t>
        </w:r>
      </w:hyperlink>
      <w:r>
        <w:t xml:space="preserve"> изложить в следующей редакции: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"31. </w:t>
      </w:r>
      <w:proofErr w:type="gramStart"/>
      <w:r>
        <w:t>Получатель Субсидии ежеквартально не позднее 10-го рабочего дня с даты, следующей за отчетным кварталом, предоставляет в Департамент отчет об осуществлении расходов, источником финансового обеспечения которых является Субсидия, годовой отчет об осуществлении расходов, источником финансового обеспечения которых является Субсидия, - до 10 февраля года, следующего за отчетным.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32. Получатель Субсидии направляет в Департамент ежеквартально не позднее 10-го </w:t>
      </w:r>
      <w:r>
        <w:lastRenderedPageBreak/>
        <w:t>рабочего дня с даты, следующей за отчетным кварталом, отчет о достижении значения результата предоставления Субсидии.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33. </w:t>
      </w:r>
      <w:proofErr w:type="gramStart"/>
      <w:r>
        <w:t>Получатель Субсидии направляет в Департамент отчет о реализации Плана мероприятий, установленных в Соглашении, ежеквартально не позднее 20-го рабочего дня с даты, следующей за отчетным кварталом, годовой отчет - не позднее 10 февраля года, следующего за отчетным.".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26. После </w:t>
      </w:r>
      <w:hyperlink r:id="rId77">
        <w:r>
          <w:rPr>
            <w:color w:val="0000FF"/>
          </w:rPr>
          <w:t>пункта 33</w:t>
        </w:r>
      </w:hyperlink>
      <w:r>
        <w:t xml:space="preserve"> дополнить пунктом 33.1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"33.1. Департамент осуществляет проверку и принятие: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33.1.1. Отчетов, указанных в пункте 31 настоящего Порядка, в срок, не превышающий 30 рабочих дней со дня представления таких отчетов.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33.1.2. Отчетов, указанных в пункте 32 настоящего Порядка, в срок, не превышающий 20 рабочих дней со дня представления таких отчетов</w:t>
      </w:r>
      <w:proofErr w:type="gramStart"/>
      <w:r>
        <w:t>.".</w:t>
      </w:r>
      <w:proofErr w:type="gramEnd"/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27. В </w:t>
      </w:r>
      <w:hyperlink r:id="rId78">
        <w:r>
          <w:rPr>
            <w:color w:val="0000FF"/>
          </w:rPr>
          <w:t>пункте 37</w:t>
        </w:r>
      </w:hyperlink>
      <w:r>
        <w:t>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27.1. </w:t>
      </w:r>
      <w:hyperlink r:id="rId79">
        <w:r>
          <w:rPr>
            <w:color w:val="0000FF"/>
          </w:rPr>
          <w:t>Слова</w:t>
        </w:r>
      </w:hyperlink>
      <w:r>
        <w:t xml:space="preserve"> "и сроки их устранения" исключить.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 xml:space="preserve">27.2. </w:t>
      </w:r>
      <w:hyperlink r:id="rId80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E84A67" w:rsidRDefault="00E84A67">
      <w:pPr>
        <w:pStyle w:val="ConsPlusNormal"/>
        <w:spacing w:before="220"/>
        <w:ind w:firstLine="540"/>
        <w:jc w:val="both"/>
      </w:pPr>
      <w:r>
        <w:t>"Получатель Субсидии в течение 60 дней со дня, следующего за днем получения от Департамента претензии о невыполнении обязательств Соглашения, устраняет указанные в претензии нарушения</w:t>
      </w:r>
      <w:proofErr w:type="gramStart"/>
      <w:r>
        <w:t>.".</w:t>
      </w:r>
      <w:proofErr w:type="gramEnd"/>
    </w:p>
    <w:p w:rsidR="00E84A67" w:rsidRDefault="00E84A67">
      <w:pPr>
        <w:pStyle w:val="ConsPlusNormal"/>
        <w:ind w:firstLine="540"/>
        <w:jc w:val="both"/>
      </w:pPr>
    </w:p>
    <w:p w:rsidR="00E84A67" w:rsidRDefault="00E84A67">
      <w:pPr>
        <w:pStyle w:val="ConsPlusNormal"/>
        <w:jc w:val="right"/>
      </w:pPr>
      <w:r>
        <w:t>Директор Департамента</w:t>
      </w:r>
    </w:p>
    <w:p w:rsidR="00E84A67" w:rsidRDefault="00E84A67">
      <w:pPr>
        <w:pStyle w:val="ConsPlusNormal"/>
        <w:jc w:val="right"/>
      </w:pPr>
      <w:r>
        <w:t>В.В.ГАМУЗОВ</w:t>
      </w:r>
    </w:p>
    <w:p w:rsidR="00E84A67" w:rsidRDefault="00E84A67">
      <w:pPr>
        <w:pStyle w:val="ConsPlusNormal"/>
        <w:ind w:firstLine="540"/>
        <w:jc w:val="both"/>
      </w:pPr>
    </w:p>
    <w:p w:rsidR="00E84A67" w:rsidRDefault="00E84A67">
      <w:pPr>
        <w:pStyle w:val="ConsPlusNormal"/>
        <w:ind w:firstLine="540"/>
        <w:jc w:val="both"/>
      </w:pPr>
    </w:p>
    <w:p w:rsidR="00E84A67" w:rsidRDefault="00E84A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741" w:rsidRDefault="00A60741">
      <w:bookmarkStart w:id="0" w:name="_GoBack"/>
      <w:bookmarkEnd w:id="0"/>
    </w:p>
    <w:sectPr w:rsidR="00A60741" w:rsidSect="0025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67"/>
    <w:rsid w:val="002D5953"/>
    <w:rsid w:val="00A60741"/>
    <w:rsid w:val="00E84A67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E84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A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E84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A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316985&amp;dst=100813" TargetMode="External"/><Relationship Id="rId21" Type="http://schemas.openxmlformats.org/officeDocument/2006/relationships/hyperlink" Target="https://login.consultant.ru/link/?req=doc&amp;base=RLAW926&amp;n=316985&amp;dst=100799" TargetMode="External"/><Relationship Id="rId42" Type="http://schemas.openxmlformats.org/officeDocument/2006/relationships/hyperlink" Target="https://login.consultant.ru/link/?req=doc&amp;base=RLAW926&amp;n=316985&amp;dst=100858" TargetMode="External"/><Relationship Id="rId47" Type="http://schemas.openxmlformats.org/officeDocument/2006/relationships/hyperlink" Target="https://login.consultant.ru/link/?req=doc&amp;base=RLAW926&amp;n=316985&amp;dst=100862" TargetMode="External"/><Relationship Id="rId63" Type="http://schemas.openxmlformats.org/officeDocument/2006/relationships/hyperlink" Target="https://login.consultant.ru/link/?req=doc&amp;base=RLAW926&amp;n=316985&amp;dst=100873" TargetMode="External"/><Relationship Id="rId68" Type="http://schemas.openxmlformats.org/officeDocument/2006/relationships/hyperlink" Target="https://login.consultant.ru/link/?req=doc&amp;base=RLAW926&amp;n=316985&amp;dst=100881" TargetMode="External"/><Relationship Id="rId16" Type="http://schemas.openxmlformats.org/officeDocument/2006/relationships/hyperlink" Target="https://login.consultant.ru/link/?req=doc&amp;base=RLAW926&amp;n=316985&amp;dst=100792" TargetMode="External"/><Relationship Id="rId11" Type="http://schemas.openxmlformats.org/officeDocument/2006/relationships/hyperlink" Target="https://login.consultant.ru/link/?req=doc&amp;base=RLAW926&amp;n=316985&amp;dst=100788" TargetMode="External"/><Relationship Id="rId32" Type="http://schemas.openxmlformats.org/officeDocument/2006/relationships/hyperlink" Target="https://login.consultant.ru/link/?req=doc&amp;base=RLAW926&amp;n=316985&amp;dst=100822" TargetMode="External"/><Relationship Id="rId37" Type="http://schemas.openxmlformats.org/officeDocument/2006/relationships/hyperlink" Target="https://login.consultant.ru/link/?req=doc&amp;base=RLAW926&amp;n=316985&amp;dst=100852" TargetMode="External"/><Relationship Id="rId53" Type="http://schemas.openxmlformats.org/officeDocument/2006/relationships/hyperlink" Target="https://login.consultant.ru/link/?req=doc&amp;base=RLAW926&amp;n=316985&amp;dst=100866" TargetMode="External"/><Relationship Id="rId58" Type="http://schemas.openxmlformats.org/officeDocument/2006/relationships/hyperlink" Target="https://login.consultant.ru/link/?req=doc&amp;base=RLAW926&amp;n=316985&amp;dst=100871" TargetMode="External"/><Relationship Id="rId74" Type="http://schemas.openxmlformats.org/officeDocument/2006/relationships/hyperlink" Target="https://login.consultant.ru/link/?req=doc&amp;base=RLAW926&amp;n=316985&amp;dst=100885" TargetMode="External"/><Relationship Id="rId79" Type="http://schemas.openxmlformats.org/officeDocument/2006/relationships/hyperlink" Target="https://login.consultant.ru/link/?req=doc&amp;base=RLAW926&amp;n=316985&amp;dst=100910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121087&amp;dst=100142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926&amp;n=316985&amp;dst=100793" TargetMode="External"/><Relationship Id="rId14" Type="http://schemas.openxmlformats.org/officeDocument/2006/relationships/hyperlink" Target="https://login.consultant.ru/link/?req=doc&amp;base=RLAW926&amp;n=316985&amp;dst=100788" TargetMode="External"/><Relationship Id="rId22" Type="http://schemas.openxmlformats.org/officeDocument/2006/relationships/hyperlink" Target="https://login.consultant.ru/link/?req=doc&amp;base=RLAW926&amp;n=316985&amp;dst=100801" TargetMode="External"/><Relationship Id="rId27" Type="http://schemas.openxmlformats.org/officeDocument/2006/relationships/hyperlink" Target="https://login.consultant.ru/link/?req=doc&amp;base=RLAW926&amp;n=316985&amp;dst=100815" TargetMode="External"/><Relationship Id="rId30" Type="http://schemas.openxmlformats.org/officeDocument/2006/relationships/hyperlink" Target="https://login.consultant.ru/link/?req=doc&amp;base=RLAW926&amp;n=316985&amp;dst=100819" TargetMode="External"/><Relationship Id="rId35" Type="http://schemas.openxmlformats.org/officeDocument/2006/relationships/hyperlink" Target="https://login.consultant.ru/link/?req=doc&amp;base=RLAW926&amp;n=316985&amp;dst=100845" TargetMode="External"/><Relationship Id="rId43" Type="http://schemas.openxmlformats.org/officeDocument/2006/relationships/hyperlink" Target="https://login.consultant.ru/link/?req=doc&amp;base=RLAW926&amp;n=316985&amp;dst=100858" TargetMode="External"/><Relationship Id="rId48" Type="http://schemas.openxmlformats.org/officeDocument/2006/relationships/hyperlink" Target="https://login.consultant.ru/link/?req=doc&amp;base=RLAW926&amp;n=316985&amp;dst=100863" TargetMode="External"/><Relationship Id="rId56" Type="http://schemas.openxmlformats.org/officeDocument/2006/relationships/hyperlink" Target="https://login.consultant.ru/link/?req=doc&amp;base=RLAW926&amp;n=316985&amp;dst=100870" TargetMode="External"/><Relationship Id="rId64" Type="http://schemas.openxmlformats.org/officeDocument/2006/relationships/hyperlink" Target="https://login.consultant.ru/link/?req=doc&amp;base=RLAW926&amp;n=316985&amp;dst=100873" TargetMode="External"/><Relationship Id="rId69" Type="http://schemas.openxmlformats.org/officeDocument/2006/relationships/hyperlink" Target="https://login.consultant.ru/link/?req=doc&amp;base=RLAW926&amp;n=316985&amp;dst=100882" TargetMode="External"/><Relationship Id="rId77" Type="http://schemas.openxmlformats.org/officeDocument/2006/relationships/hyperlink" Target="https://login.consultant.ru/link/?req=doc&amp;base=RLAW926&amp;n=316985&amp;dst=100899" TargetMode="External"/><Relationship Id="rId8" Type="http://schemas.openxmlformats.org/officeDocument/2006/relationships/hyperlink" Target="https://login.consultant.ru/link/?req=doc&amp;base=RLAW926&amp;n=330570" TargetMode="External"/><Relationship Id="rId51" Type="http://schemas.openxmlformats.org/officeDocument/2006/relationships/hyperlink" Target="https://login.consultant.ru/link/?req=doc&amp;base=RLAW926&amp;n=316985&amp;dst=100864" TargetMode="External"/><Relationship Id="rId72" Type="http://schemas.openxmlformats.org/officeDocument/2006/relationships/hyperlink" Target="https://login.consultant.ru/link/?req=doc&amp;base=RLAW926&amp;n=316985&amp;dst=101387" TargetMode="External"/><Relationship Id="rId80" Type="http://schemas.openxmlformats.org/officeDocument/2006/relationships/hyperlink" Target="https://login.consultant.ru/link/?req=doc&amp;base=RLAW926&amp;n=316985&amp;dst=1009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316985&amp;dst=100788" TargetMode="External"/><Relationship Id="rId17" Type="http://schemas.openxmlformats.org/officeDocument/2006/relationships/hyperlink" Target="https://login.consultant.ru/link/?req=doc&amp;base=RLAW926&amp;n=315287&amp;dst=101417" TargetMode="External"/><Relationship Id="rId25" Type="http://schemas.openxmlformats.org/officeDocument/2006/relationships/hyperlink" Target="https://login.consultant.ru/link/?req=doc&amp;base=RLAW926&amp;n=316985&amp;dst=100793" TargetMode="External"/><Relationship Id="rId33" Type="http://schemas.openxmlformats.org/officeDocument/2006/relationships/hyperlink" Target="https://login.consultant.ru/link/?req=doc&amp;base=RLAW926&amp;n=316985&amp;dst=100825" TargetMode="External"/><Relationship Id="rId38" Type="http://schemas.openxmlformats.org/officeDocument/2006/relationships/hyperlink" Target="https://login.consultant.ru/link/?req=doc&amp;base=RLAW926&amp;n=316985&amp;dst=100854" TargetMode="External"/><Relationship Id="rId46" Type="http://schemas.openxmlformats.org/officeDocument/2006/relationships/hyperlink" Target="https://login.consultant.ru/link/?req=doc&amp;base=RLAW926&amp;n=316985&amp;dst=100861" TargetMode="External"/><Relationship Id="rId59" Type="http://schemas.openxmlformats.org/officeDocument/2006/relationships/hyperlink" Target="https://login.consultant.ru/link/?req=doc&amp;base=RLAW926&amp;n=316985&amp;dst=100871" TargetMode="External"/><Relationship Id="rId67" Type="http://schemas.openxmlformats.org/officeDocument/2006/relationships/hyperlink" Target="https://login.consultant.ru/link/?req=doc&amp;base=RLAW926&amp;n=316985&amp;dst=100877" TargetMode="External"/><Relationship Id="rId20" Type="http://schemas.openxmlformats.org/officeDocument/2006/relationships/hyperlink" Target="https://login.consultant.ru/link/?req=doc&amp;base=LAW&amp;n=491830&amp;dst=100021" TargetMode="External"/><Relationship Id="rId41" Type="http://schemas.openxmlformats.org/officeDocument/2006/relationships/hyperlink" Target="https://login.consultant.ru/link/?req=doc&amp;base=RLAW926&amp;n=316985&amp;dst=100852" TargetMode="External"/><Relationship Id="rId54" Type="http://schemas.openxmlformats.org/officeDocument/2006/relationships/hyperlink" Target="https://login.consultant.ru/link/?req=doc&amp;base=RLAW926&amp;n=316985&amp;dst=100866" TargetMode="External"/><Relationship Id="rId62" Type="http://schemas.openxmlformats.org/officeDocument/2006/relationships/hyperlink" Target="https://login.consultant.ru/link/?req=doc&amp;base=LAW&amp;n=512750" TargetMode="External"/><Relationship Id="rId70" Type="http://schemas.openxmlformats.org/officeDocument/2006/relationships/hyperlink" Target="https://login.consultant.ru/link/?req=doc&amp;base=RLAW926&amp;n=316985&amp;dst=100885" TargetMode="External"/><Relationship Id="rId75" Type="http://schemas.openxmlformats.org/officeDocument/2006/relationships/hyperlink" Target="https://login.consultant.ru/link/?req=doc&amp;base=RLAW926&amp;n=316985&amp;dst=10138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41" TargetMode="External"/><Relationship Id="rId15" Type="http://schemas.openxmlformats.org/officeDocument/2006/relationships/hyperlink" Target="https://login.consultant.ru/link/?req=doc&amp;base=RLAW926&amp;n=316985&amp;dst=100786" TargetMode="External"/><Relationship Id="rId23" Type="http://schemas.openxmlformats.org/officeDocument/2006/relationships/hyperlink" Target="https://login.consultant.ru/link/?req=doc&amp;base=RLAW926&amp;n=316985&amp;dst=100803" TargetMode="External"/><Relationship Id="rId28" Type="http://schemas.openxmlformats.org/officeDocument/2006/relationships/hyperlink" Target="https://login.consultant.ru/link/?req=doc&amp;base=RLAW926&amp;n=316985&amp;dst=100816" TargetMode="External"/><Relationship Id="rId36" Type="http://schemas.openxmlformats.org/officeDocument/2006/relationships/hyperlink" Target="https://login.consultant.ru/link/?req=doc&amp;base=RLAW926&amp;n=316985&amp;dst=100851" TargetMode="External"/><Relationship Id="rId49" Type="http://schemas.openxmlformats.org/officeDocument/2006/relationships/hyperlink" Target="https://login.consultant.ru/link/?req=doc&amp;base=RLAW926&amp;n=316985&amp;dst=100864" TargetMode="External"/><Relationship Id="rId57" Type="http://schemas.openxmlformats.org/officeDocument/2006/relationships/hyperlink" Target="https://login.consultant.ru/link/?req=doc&amp;base=RLAW926&amp;n=316985&amp;dst=100866" TargetMode="External"/><Relationship Id="rId10" Type="http://schemas.openxmlformats.org/officeDocument/2006/relationships/hyperlink" Target="https://login.consultant.ru/link/?req=doc&amp;base=RLAW926&amp;n=316985&amp;dst=100786" TargetMode="External"/><Relationship Id="rId31" Type="http://schemas.openxmlformats.org/officeDocument/2006/relationships/hyperlink" Target="https://login.consultant.ru/link/?req=doc&amp;base=RLAW926&amp;n=316985&amp;dst=100822" TargetMode="External"/><Relationship Id="rId44" Type="http://schemas.openxmlformats.org/officeDocument/2006/relationships/hyperlink" Target="https://login.consultant.ru/link/?req=doc&amp;base=RLAW926&amp;n=316985&amp;dst=100859" TargetMode="External"/><Relationship Id="rId52" Type="http://schemas.openxmlformats.org/officeDocument/2006/relationships/hyperlink" Target="https://login.consultant.ru/link/?req=doc&amp;base=RLAW926&amp;n=316985&amp;dst=100865" TargetMode="External"/><Relationship Id="rId60" Type="http://schemas.openxmlformats.org/officeDocument/2006/relationships/hyperlink" Target="https://login.consultant.ru/link/?req=doc&amp;base=LAW&amp;n=483130&amp;dst=5769" TargetMode="External"/><Relationship Id="rId65" Type="http://schemas.openxmlformats.org/officeDocument/2006/relationships/hyperlink" Target="https://login.consultant.ru/link/?req=doc&amp;base=RLAW926&amp;n=316985&amp;dst=100874" TargetMode="External"/><Relationship Id="rId73" Type="http://schemas.openxmlformats.org/officeDocument/2006/relationships/hyperlink" Target="https://login.consultant.ru/link/?req=doc&amp;base=RLAW926&amp;n=316985&amp;dst=100888" TargetMode="External"/><Relationship Id="rId78" Type="http://schemas.openxmlformats.org/officeDocument/2006/relationships/hyperlink" Target="https://login.consultant.ru/link/?req=doc&amp;base=RLAW926&amp;n=316985&amp;dst=100910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15287" TargetMode="External"/><Relationship Id="rId13" Type="http://schemas.openxmlformats.org/officeDocument/2006/relationships/hyperlink" Target="https://login.consultant.ru/link/?req=doc&amp;base=RLAW926&amp;n=316985&amp;dst=100788" TargetMode="External"/><Relationship Id="rId18" Type="http://schemas.openxmlformats.org/officeDocument/2006/relationships/hyperlink" Target="https://login.consultant.ru/link/?req=doc&amp;base=RLAW926&amp;n=316985&amp;dst=100793" TargetMode="External"/><Relationship Id="rId39" Type="http://schemas.openxmlformats.org/officeDocument/2006/relationships/hyperlink" Target="https://login.consultant.ru/link/?req=doc&amp;base=RLAW926&amp;n=316985&amp;dst=100856" TargetMode="External"/><Relationship Id="rId34" Type="http://schemas.openxmlformats.org/officeDocument/2006/relationships/hyperlink" Target="https://login.consultant.ru/link/?req=doc&amp;base=RLAW926&amp;n=316985&amp;dst=100839" TargetMode="External"/><Relationship Id="rId50" Type="http://schemas.openxmlformats.org/officeDocument/2006/relationships/hyperlink" Target="https://login.consultant.ru/link/?req=doc&amp;base=RLAW926&amp;n=316985&amp;dst=100864" TargetMode="External"/><Relationship Id="rId55" Type="http://schemas.openxmlformats.org/officeDocument/2006/relationships/hyperlink" Target="https://login.consultant.ru/link/?req=doc&amp;base=RLAW926&amp;n=316985&amp;dst=100866" TargetMode="External"/><Relationship Id="rId76" Type="http://schemas.openxmlformats.org/officeDocument/2006/relationships/hyperlink" Target="https://login.consultant.ru/link/?req=doc&amp;base=RLAW926&amp;n=316985&amp;dst=100899" TargetMode="External"/><Relationship Id="rId7" Type="http://schemas.openxmlformats.org/officeDocument/2006/relationships/hyperlink" Target="https://login.consultant.ru/link/?req=doc&amp;base=LAW&amp;n=490805" TargetMode="External"/><Relationship Id="rId71" Type="http://schemas.openxmlformats.org/officeDocument/2006/relationships/hyperlink" Target="https://login.consultant.ru/link/?req=doc&amp;base=RLAW926&amp;n=316985&amp;dst=10088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926&amp;n=316985&amp;dst=100819" TargetMode="External"/><Relationship Id="rId24" Type="http://schemas.openxmlformats.org/officeDocument/2006/relationships/hyperlink" Target="https://login.consultant.ru/link/?req=doc&amp;base=RLAW926&amp;n=316985&amp;dst=100808" TargetMode="External"/><Relationship Id="rId40" Type="http://schemas.openxmlformats.org/officeDocument/2006/relationships/hyperlink" Target="https://login.consultant.ru/link/?req=doc&amp;base=RLAW926&amp;n=316985&amp;dst=100857" TargetMode="External"/><Relationship Id="rId45" Type="http://schemas.openxmlformats.org/officeDocument/2006/relationships/hyperlink" Target="https://login.consultant.ru/link/?req=doc&amp;base=RLAW926&amp;n=316985&amp;dst=100860" TargetMode="External"/><Relationship Id="rId66" Type="http://schemas.openxmlformats.org/officeDocument/2006/relationships/hyperlink" Target="https://login.consultant.ru/link/?req=doc&amp;base=RLAW926&amp;n=316985&amp;dst=100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Сечковская В.А.</dc:creator>
  <cp:lastModifiedBy>Сечковская В.А.</cp:lastModifiedBy>
  <cp:revision>1</cp:revision>
  <dcterms:created xsi:type="dcterms:W3CDTF">2025-10-06T10:52:00Z</dcterms:created>
  <dcterms:modified xsi:type="dcterms:W3CDTF">2025-10-06T10:53:00Z</dcterms:modified>
</cp:coreProperties>
</file>